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80BE" w14:textId="7B1A3C9D" w:rsidR="005E0BD4" w:rsidRPr="005E0BD4" w:rsidRDefault="005E0BD4" w:rsidP="005E0BD4">
      <w:pPr>
        <w:spacing w:after="0" w:line="240" w:lineRule="auto"/>
        <w:jc w:val="center"/>
        <w:rPr>
          <w:rFonts w:eastAsia="Times New Roman"/>
          <w:b/>
          <w:color w:val="00B050"/>
          <w:sz w:val="40"/>
          <w:szCs w:val="40"/>
          <w:lang w:eastAsia="en-GB"/>
        </w:rPr>
      </w:pPr>
      <w:r w:rsidRPr="005E0BD4">
        <w:rPr>
          <w:rFonts w:eastAsia="Times New Roman"/>
          <w:b/>
          <w:color w:val="00B050"/>
          <w:sz w:val="40"/>
          <w:szCs w:val="40"/>
          <w:lang w:eastAsia="en-GB"/>
        </w:rPr>
        <w:t>The Stuart Rossiter Trust announces a new book</w:t>
      </w:r>
      <w:r w:rsidR="0049661D">
        <w:rPr>
          <w:rFonts w:eastAsia="Times New Roman"/>
          <w:b/>
          <w:color w:val="00B050"/>
          <w:sz w:val="40"/>
          <w:szCs w:val="40"/>
          <w:lang w:eastAsia="en-GB"/>
        </w:rPr>
        <w:t>.</w:t>
      </w:r>
    </w:p>
    <w:p w14:paraId="4DF43FE9" w14:textId="77777777" w:rsidR="005E0BD4" w:rsidRPr="005E0BD4" w:rsidRDefault="005E0BD4" w:rsidP="005E0BD4">
      <w:pPr>
        <w:spacing w:after="0" w:line="240" w:lineRule="auto"/>
        <w:jc w:val="center"/>
        <w:rPr>
          <w:rFonts w:eastAsia="Times New Roman"/>
          <w:b/>
          <w:color w:val="00B050"/>
          <w:sz w:val="40"/>
          <w:szCs w:val="40"/>
          <w:lang w:eastAsia="en-GB"/>
        </w:rPr>
      </w:pPr>
    </w:p>
    <w:tbl>
      <w:tblPr>
        <w:tblStyle w:val="TableGrid"/>
        <w:tblW w:w="0" w:type="auto"/>
        <w:tblInd w:w="155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80" w:firstRow="0" w:lastRow="0" w:firstColumn="1" w:lastColumn="0" w:noHBand="0" w:noVBand="1"/>
      </w:tblPr>
      <w:tblGrid>
        <w:gridCol w:w="5953"/>
      </w:tblGrid>
      <w:tr w:rsidR="005E0BD4" w14:paraId="2780EC9C" w14:textId="77777777" w:rsidTr="00FE2358">
        <w:trPr>
          <w:trHeight w:val="7326"/>
        </w:trPr>
        <w:tc>
          <w:tcPr>
            <w:tcW w:w="5953" w:type="dxa"/>
          </w:tcPr>
          <w:p w14:paraId="341C9533" w14:textId="77777777" w:rsidR="005E0BD4" w:rsidRPr="005E0BD4" w:rsidRDefault="005E0BD4" w:rsidP="005E0BD4">
            <w:pPr>
              <w:jc w:val="center"/>
              <w:rPr>
                <w:sz w:val="32"/>
                <w:szCs w:val="32"/>
              </w:rPr>
            </w:pPr>
            <w:r w:rsidRPr="005E0BD4">
              <w:rPr>
                <w:rFonts w:eastAsia="Times New Roman"/>
                <w:b/>
                <w:sz w:val="32"/>
                <w:szCs w:val="32"/>
                <w:lang w:eastAsia="en-GB"/>
              </w:rPr>
              <w:t>The British Free Franking System</w:t>
            </w:r>
          </w:p>
          <w:p w14:paraId="47949EEB" w14:textId="77777777" w:rsidR="005E0BD4" w:rsidRPr="005E0BD4" w:rsidRDefault="005E0BD4" w:rsidP="005E0BD4">
            <w:pPr>
              <w:jc w:val="center"/>
              <w:rPr>
                <w:rFonts w:eastAsia="Times New Roman"/>
                <w:b/>
                <w:sz w:val="32"/>
                <w:szCs w:val="32"/>
                <w:lang w:eastAsia="en-GB"/>
              </w:rPr>
            </w:pPr>
          </w:p>
          <w:p w14:paraId="2BA16B99" w14:textId="77777777" w:rsidR="005E0BD4" w:rsidRPr="005E0BD4" w:rsidRDefault="005E0BD4" w:rsidP="005E0BD4">
            <w:pPr>
              <w:jc w:val="center"/>
              <w:rPr>
                <w:rFonts w:eastAsia="Times New Roman"/>
                <w:b/>
                <w:sz w:val="28"/>
                <w:szCs w:val="28"/>
                <w:lang w:eastAsia="en-GB"/>
              </w:rPr>
            </w:pPr>
            <w:r w:rsidRPr="005E0BD4">
              <w:rPr>
                <w:rFonts w:eastAsia="Times New Roman"/>
                <w:b/>
                <w:sz w:val="28"/>
                <w:szCs w:val="28"/>
                <w:lang w:eastAsia="en-GB"/>
              </w:rPr>
              <w:t>Robert B. Galland FRPSL</w:t>
            </w:r>
          </w:p>
          <w:p w14:paraId="6AA99855" w14:textId="77777777" w:rsidR="005E0BD4" w:rsidRPr="005E0BD4" w:rsidRDefault="005E0BD4" w:rsidP="005E0BD4">
            <w:pPr>
              <w:jc w:val="center"/>
              <w:rPr>
                <w:rFonts w:eastAsia="Times New Roman"/>
                <w:b/>
                <w:sz w:val="28"/>
                <w:szCs w:val="28"/>
                <w:lang w:eastAsia="en-GB"/>
              </w:rPr>
            </w:pPr>
          </w:p>
          <w:p w14:paraId="0745E739" w14:textId="77777777" w:rsidR="005E0BD4" w:rsidRDefault="005E0BD4" w:rsidP="005E0BD4">
            <w:pPr>
              <w:jc w:val="center"/>
              <w:rPr>
                <w:b/>
                <w:sz w:val="28"/>
                <w:szCs w:val="28"/>
              </w:rPr>
            </w:pPr>
            <w:r w:rsidRPr="005E0BD4">
              <w:rPr>
                <w:b/>
                <w:sz w:val="28"/>
                <w:szCs w:val="28"/>
              </w:rPr>
              <w:t>With a contribution by John Colton</w:t>
            </w:r>
          </w:p>
          <w:p w14:paraId="76633D10" w14:textId="77777777" w:rsidR="005E0BD4" w:rsidRPr="005E0BD4" w:rsidRDefault="005E0BD4" w:rsidP="005E0BD4">
            <w:pPr>
              <w:jc w:val="center"/>
              <w:rPr>
                <w:rFonts w:eastAsia="Calibri"/>
                <w:b/>
                <w:sz w:val="28"/>
                <w:szCs w:val="28"/>
              </w:rPr>
            </w:pPr>
          </w:p>
          <w:p w14:paraId="4485B67E" w14:textId="77777777" w:rsidR="005E0BD4" w:rsidRDefault="005E0BD4" w:rsidP="005E0BD4">
            <w:pPr>
              <w:jc w:val="center"/>
              <w:rPr>
                <w:rFonts w:eastAsia="Times New Roman"/>
                <w:b/>
                <w:sz w:val="40"/>
                <w:szCs w:val="40"/>
                <w:lang w:eastAsia="en-GB"/>
              </w:rPr>
            </w:pPr>
            <w:r>
              <w:rPr>
                <w:noProof/>
              </w:rPr>
              <w:drawing>
                <wp:inline distT="0" distB="0" distL="0" distR="0" wp14:anchorId="26787762" wp14:editId="319B110C">
                  <wp:extent cx="2048400" cy="1245600"/>
                  <wp:effectExtent l="76200" t="76200" r="123825" b="12636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Text, letter&#10;&#10;Description automatically generated"/>
                          <pic:cNvPicPr/>
                        </pic:nvPicPr>
                        <pic:blipFill>
                          <a:blip r:embed="rId4"/>
                          <a:srcRect/>
                          <a:stretch>
                            <a:fillRect/>
                          </a:stretch>
                        </pic:blipFill>
                        <pic:spPr>
                          <a:xfrm>
                            <a:off x="0" y="0"/>
                            <a:ext cx="2048400" cy="1245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F8527A" w14:textId="6AFD6416" w:rsidR="005E0BD4" w:rsidRDefault="005E0BD4" w:rsidP="00FE2358">
            <w:pPr>
              <w:jc w:val="center"/>
              <w:rPr>
                <w:rFonts w:eastAsia="Times New Roman"/>
                <w:b/>
                <w:sz w:val="40"/>
                <w:szCs w:val="40"/>
                <w:lang w:eastAsia="en-GB"/>
              </w:rPr>
            </w:pPr>
            <w:r>
              <w:rPr>
                <w:noProof/>
              </w:rPr>
              <w:drawing>
                <wp:inline distT="0" distB="0" distL="0" distR="0" wp14:anchorId="39BC0998" wp14:editId="24E9BAA0">
                  <wp:extent cx="2174400" cy="1454400"/>
                  <wp:effectExtent l="76200" t="76200" r="130810" b="12700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Text, letter&#10;&#10;Description automatically generated"/>
                          <pic:cNvPicPr/>
                        </pic:nvPicPr>
                        <pic:blipFill>
                          <a:blip r:embed="rId5"/>
                          <a:srcRect/>
                          <a:stretch>
                            <a:fillRect/>
                          </a:stretch>
                        </pic:blipFill>
                        <pic:spPr>
                          <a:xfrm>
                            <a:off x="0" y="0"/>
                            <a:ext cx="2174400" cy="1454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3A2D5AC8" w14:textId="77777777" w:rsidR="006364F8" w:rsidRDefault="006364F8">
      <w:pPr>
        <w:rPr>
          <w:sz w:val="24"/>
          <w:szCs w:val="24"/>
        </w:rPr>
      </w:pPr>
    </w:p>
    <w:p w14:paraId="26D10495" w14:textId="1A83C175" w:rsidR="00D70552" w:rsidRDefault="00D70552" w:rsidP="00D70552">
      <w:pPr>
        <w:spacing w:after="0"/>
        <w:rPr>
          <w:sz w:val="28"/>
          <w:szCs w:val="28"/>
        </w:rPr>
      </w:pPr>
      <w:r w:rsidRPr="006364F8">
        <w:rPr>
          <w:sz w:val="28"/>
          <w:szCs w:val="28"/>
        </w:rPr>
        <w:t xml:space="preserve">Hardbound 410 </w:t>
      </w:r>
      <w:proofErr w:type="gramStart"/>
      <w:r w:rsidRPr="006364F8">
        <w:rPr>
          <w:sz w:val="28"/>
          <w:szCs w:val="28"/>
        </w:rPr>
        <w:t xml:space="preserve">pages  </w:t>
      </w:r>
      <w:r w:rsidRPr="0049661D">
        <w:rPr>
          <w:b/>
          <w:bCs/>
          <w:color w:val="00B050"/>
          <w:sz w:val="28"/>
          <w:szCs w:val="28"/>
        </w:rPr>
        <w:t>£</w:t>
      </w:r>
      <w:proofErr w:type="gramEnd"/>
      <w:r w:rsidR="0049661D" w:rsidRPr="0049661D">
        <w:rPr>
          <w:b/>
          <w:bCs/>
          <w:color w:val="00B050"/>
          <w:sz w:val="28"/>
          <w:szCs w:val="28"/>
        </w:rPr>
        <w:t>35</w:t>
      </w:r>
      <w:r w:rsidRPr="0049661D">
        <w:rPr>
          <w:color w:val="00B050"/>
          <w:sz w:val="28"/>
          <w:szCs w:val="28"/>
        </w:rPr>
        <w:t xml:space="preserve">  </w:t>
      </w:r>
      <w:r w:rsidR="0049661D">
        <w:rPr>
          <w:sz w:val="28"/>
          <w:szCs w:val="28"/>
        </w:rPr>
        <w:t>(</w:t>
      </w:r>
      <w:r w:rsidR="00BE2FF8" w:rsidRPr="00BE2FF8">
        <w:rPr>
          <w:sz w:val="24"/>
          <w:szCs w:val="24"/>
        </w:rPr>
        <w:t>post free in UK</w:t>
      </w:r>
      <w:r w:rsidR="00BE2FF8">
        <w:rPr>
          <w:sz w:val="28"/>
          <w:szCs w:val="28"/>
        </w:rPr>
        <w:t xml:space="preserve">) </w:t>
      </w:r>
      <w:r w:rsidRPr="006364F8">
        <w:rPr>
          <w:sz w:val="28"/>
          <w:szCs w:val="28"/>
        </w:rPr>
        <w:t xml:space="preserve">order from </w:t>
      </w:r>
      <w:hyperlink r:id="rId6" w:history="1">
        <w:r w:rsidRPr="006364F8">
          <w:rPr>
            <w:rStyle w:val="Hyperlink"/>
            <w:sz w:val="28"/>
            <w:szCs w:val="28"/>
          </w:rPr>
          <w:t>www.rossitertrust.com/</w:t>
        </w:r>
      </w:hyperlink>
      <w:r w:rsidRPr="006364F8">
        <w:rPr>
          <w:sz w:val="28"/>
          <w:szCs w:val="28"/>
        </w:rPr>
        <w:t xml:space="preserve"> </w:t>
      </w:r>
    </w:p>
    <w:p w14:paraId="3557AC9B" w14:textId="77777777" w:rsidR="00FE2358" w:rsidRPr="006364F8" w:rsidRDefault="00FE2358" w:rsidP="00FE2358">
      <w:pPr>
        <w:spacing w:after="0"/>
        <w:jc w:val="both"/>
        <w:rPr>
          <w:sz w:val="28"/>
          <w:szCs w:val="28"/>
        </w:rPr>
      </w:pPr>
    </w:p>
    <w:p w14:paraId="3BA98486" w14:textId="77777777" w:rsidR="00D70552" w:rsidRDefault="00D70552" w:rsidP="00FE2358">
      <w:pPr>
        <w:spacing w:after="0"/>
        <w:jc w:val="both"/>
        <w:rPr>
          <w:sz w:val="23"/>
          <w:szCs w:val="23"/>
        </w:rPr>
      </w:pPr>
      <w:r>
        <w:rPr>
          <w:sz w:val="23"/>
          <w:szCs w:val="23"/>
        </w:rPr>
        <w:t xml:space="preserve">It is more than 30 years since the second edition of Lovegrove’s </w:t>
      </w:r>
      <w:r>
        <w:rPr>
          <w:i/>
          <w:iCs/>
          <w:sz w:val="23"/>
          <w:szCs w:val="23"/>
        </w:rPr>
        <w:t xml:space="preserve">Herewith my Frank … </w:t>
      </w:r>
      <w:r>
        <w:rPr>
          <w:sz w:val="23"/>
          <w:szCs w:val="23"/>
        </w:rPr>
        <w:t xml:space="preserve">and 15 years since the second edition of </w:t>
      </w:r>
      <w:r>
        <w:rPr>
          <w:i/>
          <w:iCs/>
          <w:sz w:val="23"/>
          <w:szCs w:val="23"/>
        </w:rPr>
        <w:t xml:space="preserve">The British County Catalogue of Postal History (London) </w:t>
      </w:r>
      <w:r>
        <w:rPr>
          <w:sz w:val="23"/>
          <w:szCs w:val="23"/>
        </w:rPr>
        <w:t>were published. In recent years there have been several new discoveries. An updated account of handstamps which showed that a letter was accepted for free franking is therefore timely.</w:t>
      </w:r>
    </w:p>
    <w:p w14:paraId="714DCB97" w14:textId="77777777" w:rsidR="00D70552" w:rsidRDefault="00D70552" w:rsidP="00FE2358">
      <w:pPr>
        <w:spacing w:after="0"/>
        <w:jc w:val="both"/>
        <w:rPr>
          <w:sz w:val="23"/>
          <w:szCs w:val="23"/>
        </w:rPr>
      </w:pPr>
    </w:p>
    <w:p w14:paraId="50884190" w14:textId="77777777" w:rsidR="00D70552" w:rsidRDefault="00D70552" w:rsidP="00FE2358">
      <w:pPr>
        <w:jc w:val="both"/>
        <w:rPr>
          <w:sz w:val="24"/>
          <w:szCs w:val="24"/>
        </w:rPr>
      </w:pPr>
      <w:r>
        <w:rPr>
          <w:sz w:val="24"/>
          <w:szCs w:val="24"/>
        </w:rPr>
        <w:t>How letters were accepted for free postage, privileged mail recognised and dealt with by Inspectors are detailed in this book. Also, why some mail passed free while other mail did not. After a general background of the franking system the ways in which senders indicated that a letter should go free are then described.</w:t>
      </w:r>
    </w:p>
    <w:p w14:paraId="534B8C7A" w14:textId="52F14738" w:rsidR="006364F8" w:rsidRPr="005E0BD4" w:rsidRDefault="00D70552" w:rsidP="00FE2358">
      <w:pPr>
        <w:jc w:val="both"/>
        <w:rPr>
          <w:sz w:val="24"/>
          <w:szCs w:val="24"/>
        </w:rPr>
      </w:pPr>
      <w:r w:rsidRPr="00D636A2">
        <w:rPr>
          <w:sz w:val="24"/>
          <w:szCs w:val="24"/>
        </w:rPr>
        <w:t xml:space="preserve">A new classification of handstamps associated with the franking system, based on the purpose of the stamp and office where it was applied, has been devised. Several handstamps not previously recorded in standard texts or journal articles are included. This volume complements </w:t>
      </w:r>
      <w:r w:rsidRPr="00D636A2">
        <w:rPr>
          <w:b/>
          <w:bCs/>
          <w:i/>
          <w:iCs/>
          <w:sz w:val="24"/>
          <w:szCs w:val="24"/>
        </w:rPr>
        <w:t>Great Britain: Failed Free Handstamps of the Franking System</w:t>
      </w:r>
      <w:r w:rsidRPr="00D636A2">
        <w:rPr>
          <w:b/>
          <w:bCs/>
          <w:sz w:val="24"/>
          <w:szCs w:val="24"/>
        </w:rPr>
        <w:t xml:space="preserve"> </w:t>
      </w:r>
      <w:r w:rsidRPr="00D636A2">
        <w:rPr>
          <w:sz w:val="24"/>
          <w:szCs w:val="24"/>
        </w:rPr>
        <w:t>by the same author published by the Rossiter Trust in</w:t>
      </w:r>
      <w:r w:rsidR="00FE2358" w:rsidRPr="00D636A2">
        <w:rPr>
          <w:sz w:val="24"/>
          <w:szCs w:val="24"/>
        </w:rPr>
        <w:t xml:space="preserve"> 2014</w:t>
      </w:r>
      <w:r w:rsidR="00823DF3" w:rsidRPr="00D636A2">
        <w:rPr>
          <w:sz w:val="24"/>
          <w:szCs w:val="24"/>
        </w:rPr>
        <w:t xml:space="preserve"> available at £15.  </w:t>
      </w:r>
      <w:r w:rsidRPr="00D636A2">
        <w:rPr>
          <w:sz w:val="24"/>
          <w:szCs w:val="24"/>
        </w:rPr>
        <w:t xml:space="preserve"> A </w:t>
      </w:r>
      <w:r w:rsidR="00823DF3" w:rsidRPr="00D636A2">
        <w:rPr>
          <w:sz w:val="24"/>
          <w:szCs w:val="24"/>
        </w:rPr>
        <w:t xml:space="preserve">free </w:t>
      </w:r>
      <w:r w:rsidRPr="00D636A2">
        <w:rPr>
          <w:sz w:val="24"/>
          <w:szCs w:val="24"/>
        </w:rPr>
        <w:t>second supplement to that book can be found on the Rossiter Trust website</w:t>
      </w:r>
      <w:r>
        <w:rPr>
          <w:sz w:val="23"/>
          <w:szCs w:val="23"/>
        </w:rPr>
        <w:t xml:space="preserve">.   </w:t>
      </w:r>
      <w:hyperlink r:id="rId7" w:history="1">
        <w:r w:rsidRPr="003F7ABB">
          <w:rPr>
            <w:rStyle w:val="Hyperlink"/>
            <w:sz w:val="23"/>
            <w:szCs w:val="23"/>
          </w:rPr>
          <w:t>www.rossitertrust.com/</w:t>
        </w:r>
      </w:hyperlink>
    </w:p>
    <w:sectPr w:rsidR="006364F8" w:rsidRPr="005E0BD4" w:rsidSect="00FE235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D4"/>
    <w:rsid w:val="003C7C50"/>
    <w:rsid w:val="0049661D"/>
    <w:rsid w:val="005E0BD4"/>
    <w:rsid w:val="005E2BAB"/>
    <w:rsid w:val="006364F8"/>
    <w:rsid w:val="00823DF3"/>
    <w:rsid w:val="008D16A4"/>
    <w:rsid w:val="00BE2FF8"/>
    <w:rsid w:val="00D03A2C"/>
    <w:rsid w:val="00D636A2"/>
    <w:rsid w:val="00D70552"/>
    <w:rsid w:val="00FE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EE99"/>
  <w15:chartTrackingRefBased/>
  <w15:docId w15:val="{3FEC6F82-8F84-4D43-9F9D-FB2326E4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4F8"/>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6364F8"/>
    <w:rPr>
      <w:color w:val="0563C1" w:themeColor="hyperlink"/>
      <w:u w:val="single"/>
    </w:rPr>
  </w:style>
  <w:style w:type="character" w:styleId="UnresolvedMention">
    <w:name w:val="Unresolved Mention"/>
    <w:basedOn w:val="DefaultParagraphFont"/>
    <w:uiPriority w:val="99"/>
    <w:semiHidden/>
    <w:unhideWhenUsed/>
    <w:rsid w:val="0063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ssitertru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sitertrust.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Norris</dc:creator>
  <cp:keywords/>
  <dc:description/>
  <cp:lastModifiedBy>Andy Gould</cp:lastModifiedBy>
  <cp:revision>2</cp:revision>
  <dcterms:created xsi:type="dcterms:W3CDTF">2023-05-17T12:22:00Z</dcterms:created>
  <dcterms:modified xsi:type="dcterms:W3CDTF">2023-05-17T12:22:00Z</dcterms:modified>
</cp:coreProperties>
</file>